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5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482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5975985</wp:posOffset>
                </wp:positionH>
                <wp:positionV relativeFrom="paragraph">
                  <wp:posOffset>37465</wp:posOffset>
                </wp:positionV>
                <wp:extent cx="3641725" cy="471805"/>
                <wp:effectExtent l="0" t="0" r="0" b="0"/>
                <wp:wrapNone/>
                <wp:docPr id="1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40" cy="47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stroked="f" style="position:absolute;margin-left:470.55pt;margin-top:2.95pt;width:286.65pt;height:37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5015865</wp:posOffset>
                </wp:positionH>
                <wp:positionV relativeFrom="paragraph">
                  <wp:posOffset>-85090</wp:posOffset>
                </wp:positionV>
                <wp:extent cx="4936490" cy="685355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85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5260340</wp:posOffset>
                </wp:positionH>
                <wp:positionV relativeFrom="paragraph">
                  <wp:posOffset>1945640</wp:posOffset>
                </wp:positionV>
                <wp:extent cx="5715" cy="5715"/>
                <wp:effectExtent l="0" t="0" r="0" b="0"/>
                <wp:wrapNone/>
                <wp:docPr id="3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4.15pt,153.15pt" to="414.5pt,153.5pt" ID="Прямая соединительная линия 6" stroked="t" style="position:absolute;flip:xy">
                <v:stroke color="navy" weight="63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-182880</wp:posOffset>
                </wp:positionH>
                <wp:positionV relativeFrom="paragraph">
                  <wp:posOffset>-85090</wp:posOffset>
                </wp:positionV>
                <wp:extent cx="4936490" cy="6853555"/>
                <wp:effectExtent l="0" t="0" r="0" b="0"/>
                <wp:wrapNone/>
                <wp:docPr id="4" name="Скругленный 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85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6040755</wp:posOffset>
                </wp:positionH>
                <wp:positionV relativeFrom="paragraph">
                  <wp:posOffset>504825</wp:posOffset>
                </wp:positionV>
                <wp:extent cx="3620135" cy="938530"/>
                <wp:effectExtent l="0" t="0" r="0" b="0"/>
                <wp:wrapNone/>
                <wp:docPr id="5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9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Новокаховськ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ДПІ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ГУ ДПС у Херсонській області, Автономній Республіці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рим та м. Севастополі 74900, м. Нова Каховка, вул Горького 11А. </w:t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Тел. (05549) 4-52-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  <w:lang w:val="uk-UA"/>
                              </w:rPr>
                              <w:t>88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b/>
                                <w:i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b/>
                                <w:i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475.65pt;margin-top:39.75pt;width:284.95pt;height:73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Новокаховськ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ДПІ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ГУ ДПС у Херсонській області, Автономній Республіці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рим та м. Севастополі 74900, м. Нова Каховка, вул Горького 11А. </w:t>
                      </w:r>
                    </w:p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Тел. (05549) 4-52-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  <w:lang w:val="uk-UA"/>
                        </w:rPr>
                        <w:t>88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22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i/>
                          <w:i/>
                          <w:iCs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2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i/>
                          <w:i/>
                          <w:iCs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5975985</wp:posOffset>
                </wp:positionH>
                <wp:positionV relativeFrom="paragraph">
                  <wp:posOffset>37465</wp:posOffset>
                </wp:positionV>
                <wp:extent cx="3641725" cy="471805"/>
                <wp:effectExtent l="0" t="0" r="0" b="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40" cy="47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Державна податкова служба</w:t>
                            </w:r>
                            <w:r>
                              <w:rPr>
                                <w:b/>
                                <w:color w:val="000080"/>
                                <w:sz w:val="36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України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470.55pt;margin-top:2.95pt;width:286.65pt;height:37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Державна податкова служба</w:t>
                      </w:r>
                      <w:r>
                        <w:rPr>
                          <w:b/>
                          <w:color w:val="000080"/>
                          <w:sz w:val="36"/>
                          <w:szCs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України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1873885</wp:posOffset>
            </wp:positionH>
            <wp:positionV relativeFrom="paragraph">
              <wp:posOffset>160655</wp:posOffset>
            </wp:positionV>
            <wp:extent cx="543560" cy="581025"/>
            <wp:effectExtent l="0" t="0" r="0" b="0"/>
            <wp:wrapSquare wrapText="bothSides"/>
            <wp:docPr id="9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16">
            <wp:simplePos x="0" y="0"/>
            <wp:positionH relativeFrom="column">
              <wp:posOffset>5193665</wp:posOffset>
            </wp:positionH>
            <wp:positionV relativeFrom="paragraph">
              <wp:posOffset>-126365</wp:posOffset>
            </wp:positionV>
            <wp:extent cx="847725" cy="1189990"/>
            <wp:effectExtent l="0" t="0" r="0" b="0"/>
            <wp:wrapSquare wrapText="bothSides"/>
            <wp:docPr id="10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inline distT="0" distB="0" distL="0" distR="0">
            <wp:extent cx="4572635" cy="3830320"/>
            <wp:effectExtent l="0" t="0" r="0" b="0"/>
            <wp:docPr id="14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6040755</wp:posOffset>
                </wp:positionH>
                <wp:positionV relativeFrom="paragraph">
                  <wp:posOffset>-141605</wp:posOffset>
                </wp:positionV>
                <wp:extent cx="3620135" cy="938530"/>
                <wp:effectExtent l="0" t="0" r="0" b="0"/>
                <wp:wrapNone/>
                <wp:docPr id="11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9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stroked="f" style="position:absolute;margin-left:475.65pt;margin-top:-11.15pt;width:284.95pt;height:73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-6868160</wp:posOffset>
                </wp:positionH>
                <wp:positionV relativeFrom="paragraph">
                  <wp:posOffset>15644495</wp:posOffset>
                </wp:positionV>
                <wp:extent cx="4317365" cy="1405890"/>
                <wp:effectExtent l="0" t="0" r="0" b="0"/>
                <wp:wrapNone/>
                <wp:docPr id="12" name="Группа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73000">
                          <a:off x="0" y="0"/>
                          <a:ext cx="4316760" cy="1405080"/>
                        </a:xfrm>
                      </wpg:grpSpPr>
                      <wps:wsp>
                        <wps:cNvSpPr/>
                        <wps:spPr>
                          <a:xfrm>
                            <a:off x="1118160" y="355680"/>
                            <a:ext cx="8280" cy="1045800"/>
                          </a:xfrm>
                          <a:prstGeom prst="line">
                            <a:avLst/>
                          </a:prstGeom>
                          <a:ln w="63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76600">
                            <a:off x="1139400" y="257040"/>
                            <a:ext cx="2105640" cy="10425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76600">
                            <a:off x="4320" y="-14400"/>
                            <a:ext cx="4307040" cy="137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/>
                                  <w:color w:val="000000"/>
                                  <w:lang w:eastAsia="uk-UA"/>
                                </w:rPr>
                                <w:t>Способи подання податкової декларації про майновий стан і доходи, отримані у 2019 році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0"/>
                                  <w:rFonts w:eastAsia="Calibri"/>
                                  <w:color w:val="auto"/>
                                  <w:lang w:eastAsia="uk-UA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5" style="position:absolute;margin-left:-427.2pt;margin-top:1117.95pt;width:339.15pt;height:109.15pt" coordorigin="-8544,22359" coordsize="6783,2183">
                <v:line id="shape_0" from="-6790,22896" to="-6778,24542" stroked="t" style="position:absolute">
                  <v:stroke color="#a5a5a5" weight="63360" joinstyle="miter" endcap="flat"/>
                  <v:fill o:detectmouseclick="t" on="false"/>
                </v:line>
                <v:rect id="shape_0" fillcolor="#99ccff" stroked="f" style="position:absolute;left:-6757;top:22763;width:3315;height:1641;rotation:359">
                  <w10:wrap type="none"/>
                  <v:fill o:detectmouseclick="t" type="solid" color2="#663300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3919855</wp:posOffset>
                </wp:positionH>
                <wp:positionV relativeFrom="paragraph">
                  <wp:posOffset>3435350</wp:posOffset>
                </wp:positionV>
                <wp:extent cx="4131945" cy="1000760"/>
                <wp:effectExtent l="0" t="0" r="0" b="0"/>
                <wp:wrapNone/>
                <wp:docPr id="13" name="Группа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95800">
                          <a:off x="0" y="0"/>
                          <a:ext cx="4131360" cy="1000080"/>
                        </a:xfrm>
                      </wpg:grpSpPr>
                      <wps:wsp>
                        <wps:cNvSpPr/>
                        <wps:spPr>
                          <a:xfrm>
                            <a:off x="1071360" y="2520"/>
                            <a:ext cx="1440" cy="997560"/>
                          </a:xfrm>
                          <a:prstGeom prst="line">
                            <a:avLst/>
                          </a:prstGeom>
                          <a:ln w="63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97000">
                            <a:off x="1088280" y="-720"/>
                            <a:ext cx="2021760" cy="9957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97000">
                            <a:off x="360" y="34560"/>
                            <a:ext cx="4130640" cy="89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5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5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/>
                                  <w:color w:val="000000"/>
                                  <w:lang w:eastAsia="uk-UA"/>
                                </w:rPr>
                                <w:t>Декларування доходів у 2021 році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5" style="position:absolute;margin-left:431.75pt;margin-top:147.3pt;width:325.25pt;height:78.6pt" coordorigin="8635,2946" coordsize="6505,1572">
                <v:line id="shape_0" from="10322,2948" to="10323,4518" stroked="t" style="position:absolute">
                  <v:stroke color="#a5a5a5" weight="63360" joinstyle="miter" endcap="flat"/>
                  <v:fill o:detectmouseclick="t" on="false"/>
                </v:line>
                <v:rect id="shape_0" fillcolor="#99ccff" stroked="f" style="position:absolute;left:10348;top:2945;width:3183;height:1567;rotation:360">
                  <w10:wrap type="none"/>
                  <v:fill o:detectmouseclick="t" type="solid" color2="#663300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-198120</wp:posOffset>
                </wp:positionH>
                <wp:positionV relativeFrom="paragraph">
                  <wp:posOffset>-164465</wp:posOffset>
                </wp:positionV>
                <wp:extent cx="4936490" cy="6910070"/>
                <wp:effectExtent l="0" t="0" r="0" b="0"/>
                <wp:wrapNone/>
                <wp:docPr id="15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90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5078730</wp:posOffset>
                </wp:positionH>
                <wp:positionV relativeFrom="paragraph">
                  <wp:posOffset>-164465</wp:posOffset>
                </wp:positionV>
                <wp:extent cx="4936490" cy="6910070"/>
                <wp:effectExtent l="0" t="0" r="0" b="0"/>
                <wp:wrapNone/>
                <wp:docPr id="16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90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7317740</wp:posOffset>
            </wp:positionH>
            <wp:positionV relativeFrom="paragraph">
              <wp:posOffset>-164465</wp:posOffset>
            </wp:positionV>
            <wp:extent cx="543560" cy="581025"/>
            <wp:effectExtent l="0" t="0" r="0" b="0"/>
            <wp:wrapSquare wrapText="bothSides"/>
            <wp:docPr id="17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1">
            <wp:simplePos x="0" y="0"/>
            <wp:positionH relativeFrom="column">
              <wp:posOffset>1906270</wp:posOffset>
            </wp:positionH>
            <wp:positionV relativeFrom="paragraph">
              <wp:posOffset>-164465</wp:posOffset>
            </wp:positionV>
            <wp:extent cx="543560" cy="581025"/>
            <wp:effectExtent l="0" t="0" r="0" b="0"/>
            <wp:wrapSquare wrapText="bothSides"/>
            <wp:docPr id="18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5190490</wp:posOffset>
                </wp:positionH>
                <wp:positionV relativeFrom="paragraph">
                  <wp:posOffset>47625</wp:posOffset>
                </wp:positionV>
                <wp:extent cx="4737735" cy="6115050"/>
                <wp:effectExtent l="0" t="0" r="0" b="0"/>
                <wp:wrapNone/>
                <wp:docPr id="19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40" cy="61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6" fillcolor="white" stroked="t" style="position:absolute;margin-left:408.7pt;margin-top:3.75pt;width:372.95pt;height:481.4pt">
                <w10:wrap type="none"/>
                <v:fill o:detectmouseclick="t" type="solid" color2="black"/>
                <v:stroke color="white" weight="720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-102235</wp:posOffset>
                </wp:positionH>
                <wp:positionV relativeFrom="paragraph">
                  <wp:posOffset>47625</wp:posOffset>
                </wp:positionV>
                <wp:extent cx="4605655" cy="6193790"/>
                <wp:effectExtent l="0" t="0" r="0" b="0"/>
                <wp:wrapSquare wrapText="bothSides"/>
                <wp:docPr id="20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61937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6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  <w:lang w:eastAsia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>Новокаховськ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>ДПІ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Головного управління ДПС у Херсонській області, Автономній Республіці Крим та м. Севастополі нагадує, що громадянам, які отримували доходи, із яких під час їх нарахування чи виплати протягом 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uk-UA"/>
                              </w:rPr>
                              <w:t xml:space="preserve"> року податок не утримувався, чи одержували доходи від фізичних осіб, які не мають статусу податкових агентів, а також отримували іноземні доходи, необхідно подати декларацію про майновий стан і доходи.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Крім того, необхідно завітати до територіальних органів податкової служби й тим, хто має намір реалізувати своє право на податкову знижку, декларуючи минулорічні витрати (наприклад, за навчання чи іпотечне кредитування тощо).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Які доходи підлягають обов’язковому декларуванню?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Слід знати, громадянин зобов’язаний подати у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році податкову декларацію, якщо протягом звітного 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року, зокрема, отримував:</w:t>
                              <w:br/>
                              <w:tab/>
                              <w:t>- доходи від особи, яка не є податковим агентом, тобто від нерезидента або фізичної особи, яка не має статусу суб’єкта підприємницької діяльності або не є особою, яка здійснює незалежну професійну діяльність;</w:t>
                              <w:br/>
                              <w:tab/>
                              <w:t>- іноземні доходи;</w:t>
                              <w:br/>
                              <w:tab/>
                              <w:t>- дохід, отриманий орендодавцем при наданні нерухомості в оренду (суборенду), якщо орендар є фізичною особою, яка не є суб'єктом господарювання;</w:t>
                              <w:br/>
                              <w:tab/>
                              <w:t xml:space="preserve">- дохід, отриманий орендодавцем при наданні рухомого майна в оренду (суборенду), якщо орендар є фізичною особою, яка не є суб'єктом господарювання; 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дохід у вигляді вартості успадкованого майна (кошти, майно, майнові чи немайнові права) у межах, що підлягає оподаткуванню (крім спадкоємців-нерезидентів, які зобов'язані сплатити податок до нотаріального оформлення об'єктів спадщини та спадкоємців, які отримали у спадщину об'єкти, що оподатковуються за нульовою ставкою податку на доходи фізичних осіб, а також іншими спадкоємцями - резидентами, які сплатили податок до нотаріального оформлення об'єктів спадщини). Також фізичні особи - платники податку зобов’язані подати річну податкову декларацію про доходи за 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рік, якщо отримували окремі види оподатковуваних доходів, які згідно з нормами розділу ІV Кодексу не підлягали оподаткуванню під час їх нарахування чи виплати, але не звільнені від оподаткування. В такому випадку платник зобов’язаний самостійно включити суму таких доходів до загального річного оподатковуваного доходу та подати річну декларацію з цього податку.</w:t>
                            </w:r>
                          </w:p>
                          <w:p>
                            <w:pPr>
                              <w:pStyle w:val="Style16"/>
                              <w:spacing w:before="0" w:after="1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2.65pt;height:487.7pt;mso-wrap-distance-left:5.7pt;mso-wrap-distance-right:5.7pt;mso-wrap-distance-top:5.7pt;mso-wrap-distance-bottom:5.7pt;margin-top:3.75pt;mso-position-vertical-relative:text;margin-left:-8.0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Style16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  <w:lang w:eastAsia="uk-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>Новокаховськ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>ДПІ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 xml:space="preserve"> Головного управління ДПС у Херсонській області, Автономній Республіці Крим та м. Севастополі нагадує, що громадянам, які отримували доходи, із яких під час їх нарахування чи виплати протягом 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uk-UA"/>
                        </w:rPr>
                        <w:t xml:space="preserve"> року податок не утримувався, чи одержували доходи від фізичних осіб, які не мають статусу податкових агентів, а також отримували іноземні доходи, необхідно подати декларацію про майновий стан і доходи.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Крім того, необхідно завітати до територіальних органів податкової служби й тим, хто має намір реалізувати своє право на податкову знижку, декларуючи минулорічні витрати (наприклад, за навчання чи іпотечне кредитування тощо).</w:t>
                      </w:r>
                    </w:p>
                    <w:p>
                      <w:pPr>
                        <w:pStyle w:val="Style16"/>
                        <w:jc w:val="center"/>
                        <w:rPr>
                          <w:rFonts w:ascii="Times New Roman" w:hAnsi="Times New Roman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Які доходи підлягають обов’язковому декларуванню?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Слід знати, громадянин зобов’язаний подати у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році податкову декларацію, якщо протягом звітного 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року, зокрема, отримував:</w:t>
                        <w:br/>
                        <w:tab/>
                        <w:t>- доходи від особи, яка не є податковим агентом, тобто від нерезидента або фізичної особи, яка не має статусу суб’єкта підприємницької діяльності або не є особою, яка здійснює незалежну професійну діяльність;</w:t>
                        <w:br/>
                        <w:tab/>
                        <w:t>- іноземні доходи;</w:t>
                        <w:br/>
                        <w:tab/>
                        <w:t>- дохід, отриманий орендодавцем при наданні нерухомості в оренду (суборенду), якщо орендар є фізичною особою, яка не є суб'єктом господарювання;</w:t>
                        <w:br/>
                        <w:tab/>
                        <w:t xml:space="preserve">- дохід, отриманий орендодавцем при наданні рухомого майна в оренду (суборенду), якщо орендар є фізичною особою, яка не є суб'єктом господарювання; 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дохід у вигляді вартості успадкованого майна (кошти, майно, майнові чи немайнові права) у межах, що підлягає оподаткуванню (крім спадкоємців-нерезидентів, які зобов'язані сплатити податок до нотаріального оформлення об'єктів спадщини та спадкоємців, які отримали у спадщину об'єкти, що оподатковуються за нульовою ставкою податку на доходи фізичних осіб, а також іншими спадкоємцями - резидентами, які сплатили податок до нотаріального оформлення об'єктів спадщини). Також фізичні особи - платники податку зобов’язані подати річну податкову декларацію про доходи за 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рік, якщо отримували окремі види оподатковуваних доходів, які згідно з нормами розділу ІV Кодексу не підлягали оподаткуванню під час їх нарахування чи виплати, але не звільнені від оподаткування. В такому випадку платник зобов’язаний самостійно включити суму таких доходів до загального річного оподатковуваного доходу та подати річну декларацію з цього податку.</w:t>
                      </w:r>
                    </w:p>
                    <w:p>
                      <w:pPr>
                        <w:pStyle w:val="Style16"/>
                        <w:spacing w:before="0" w:after="1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5190490</wp:posOffset>
                </wp:positionH>
                <wp:positionV relativeFrom="paragraph">
                  <wp:posOffset>47625</wp:posOffset>
                </wp:positionV>
                <wp:extent cx="4737735" cy="6115050"/>
                <wp:effectExtent l="0" t="0" r="0" b="0"/>
                <wp:wrapSquare wrapText="bothSides"/>
                <wp:docPr id="21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6115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У яких випадках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громадянин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звільняється від обов’язкового подання податкової декларацію про майновий стан і доходи?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Згідно з п. 179.4 ст. 179 Податкового кодексу України платники податку звільняються від обов’язку подання податкової декларації про майновий стан і доходи в таких випадках: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а) незалежно від виду та суми отриманих доходів платниками податку, які: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є малолітніми/неповнолітніми або 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перебувають під арештом або є затриманими чи засудженими до позбавлення волі, перебувають у полоні або ув’язненні на території інших держав станом на кінець граничного строку подання декларації;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перебувають у розшуку станом на кінець звітного податкового року;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перебувають на строковій військовій службі станом на кінець звітного податкового року;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б) в інших випадках, визначених розд. IV ПКУ.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Відповідно до п. 179.2 ст. 179 ПКУ обов’язок платника податку щодо подання декларації вважається виконаним і декларація не подається, якщо такий платник податку отримував доходи: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від податкових агентів, які згідно з розд. IV ПКУ не включаються до загального місячного (річного) оподатковуваного доходу;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виключно від податкових агентів незалежно від виду та розміру нарахованого (виплаченого, наданого) доходу, крім випадків, прямо передбачених розд. IV ПКУ;</w:t>
                            </w:r>
                          </w:p>
                          <w:p>
                            <w:pPr>
                              <w:pStyle w:val="Style16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від операцій продажу (обміну) майна, дарування, при нотаріальному посвідченні договорів за якими був сплачений податок відповідно до розд. IV ПКУ;</w:t>
                            </w:r>
                          </w:p>
                          <w:p>
                            <w:pPr>
                              <w:pStyle w:val="Style16"/>
                              <w:spacing w:before="0" w:after="1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- у вигляді об’єктів спадщини, які відповідно до IV ПКУ оподатковуються за нульовою ставкою податку та/або з яких сплачено податок відповідно до п. 174.3 ст.174 ПКУ.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3.05pt;height:481.5pt;mso-wrap-distance-left:5.7pt;mso-wrap-distance-right:5.7pt;mso-wrap-distance-top:5.7pt;mso-wrap-distance-bottom:5.7pt;margin-top:3.75pt;mso-position-vertical-relative:text;margin-left:408.7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У яких випадках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громадянин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звільняється від обов’язкового подання податкової декларацію про майновий стан і доходи?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Згідно з п. 179.4 ст. 179 Податкового кодексу України платники податку звільняються від обов’язку подання податкової декларації про майновий стан і доходи в таких випадках: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а) незалежно від виду та суми отриманих доходів платниками податку, які: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є малолітніми/неповнолітніми або 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перебувають під арештом або є затриманими чи засудженими до позбавлення волі, перебувають у полоні або ув’язненні на території інших держав станом на кінець граничного строку подання декларації;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перебувають у розшуку станом на кінець звітного податкового року;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перебувають на строковій військовій службі станом на кінець звітного податкового року;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б) в інших випадках, визначених розд. IV ПКУ.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Відповідно до п. 179.2 ст. 179 ПКУ обов’язок платника податку щодо подання декларації вважається виконаним і декларація не подається, якщо такий платник податку отримував доходи: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від податкових агентів, які згідно з розд. IV ПКУ не включаються до загального місячного (річного) оподатковуваного доходу;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виключно від податкових агентів незалежно від виду та розміру нарахованого (виплаченого, наданого) доходу, крім випадків, прямо передбачених розд. IV ПКУ;</w:t>
                      </w:r>
                    </w:p>
                    <w:p>
                      <w:pPr>
                        <w:pStyle w:val="Style16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від операцій продажу (обміну) майна, дарування, при нотаріальному посвідченні договорів за якими був сплачений податок відповідно до розд. IV ПКУ;</w:t>
                      </w:r>
                    </w:p>
                    <w:p>
                      <w:pPr>
                        <w:pStyle w:val="Style16"/>
                        <w:spacing w:before="0" w:after="1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- у вигляді об’єктів спадщини, які відповідно до IV ПКУ оподатковуються за нульовою ставкою податку та/або з яких сплачено податок відповідно до п. 174.3 ст.174 ПКУ.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uk-UA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/>
      <w:numPr>
        <w:ilvl w:val="0"/>
        <w:numId w:val="0"/>
      </w:numPr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styleId="Style13">
    <w:name w:val="Выделение"/>
    <w:qFormat/>
    <w:rPr>
      <w:i/>
      <w:iCs/>
    </w:rPr>
  </w:style>
  <w:style w:type="character" w:styleId="Articletitleonmainpage1">
    <w:name w:val="articletitleonmainpage1"/>
    <w:qFormat/>
    <w:rPr>
      <w:caps/>
      <w:color w:val="000000"/>
      <w:sz w:val="28"/>
      <w:szCs w:val="28"/>
    </w:rPr>
  </w:style>
  <w:style w:type="character" w:styleId="Style14">
    <w:name w:val="Обычный (веб) Знак"/>
    <w:qFormat/>
    <w:rPr>
      <w:sz w:val="24"/>
      <w:szCs w:val="24"/>
      <w:lang w:val="uk-UA" w:eastAsia="uk-UA" w:bidi="ar-SA"/>
    </w:rPr>
  </w:style>
  <w:style w:type="character" w:styleId="St">
    <w:name w:val="st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Wordwithlinkicon">
    <w:name w:val="word-with-link-icon"/>
    <w:basedOn w:val="DefaultParagraphFont"/>
    <w:qFormat/>
    <w:rPr/>
  </w:style>
  <w:style w:type="character" w:styleId="Nowrap">
    <w:name w:val="no-wrap"/>
    <w:basedOn w:val="DefaultParagraphFont"/>
    <w:qFormat/>
    <w:rPr/>
  </w:style>
  <w:style w:type="character" w:styleId="Text">
    <w:name w:val="text"/>
    <w:basedOn w:val="DefaultParagraphFont"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eastAsia="uk-UA"/>
    </w:rPr>
  </w:style>
  <w:style w:type="paragraph" w:styleId="Ptsans">
    <w:name w:val="ptsans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11">
    <w:name w:val="1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Question">
    <w:name w:val="question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12">
    <w:name w:val="Знак Знак1 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>
      <w:spacing w:lineRule="auto" w:line="240" w:before="0" w:after="0"/>
    </w:pPr>
    <w:rPr>
      <w:rFonts w:ascii="Verdana" w:hAnsi="Verdana"/>
      <w:sz w:val="20"/>
      <w:szCs w:val="20"/>
      <w:lang w:val="en-US"/>
    </w:rPr>
  </w:style>
  <w:style w:type="paragraph" w:styleId="Style21">
    <w:name w:val="Знак Знак Знак Знак"/>
    <w:basedOn w:val="Normal"/>
    <w:qFormat/>
    <w:pPr>
      <w:spacing w:lineRule="auto" w:line="240" w:before="0" w:after="0"/>
    </w:pPr>
    <w:rPr>
      <w:rFonts w:ascii="Verdana" w:hAnsi="Verdana"/>
      <w:sz w:val="20"/>
      <w:szCs w:val="20"/>
      <w:lang w:val="en-U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LibreOffice/5.3.0.3$Windows_x86 LibreOffice_project/7074905676c47b82bbcfbea1aeefc84afe1c50e1</Application>
  <Pages>3</Pages>
  <Words>585</Words>
  <Characters>3619</Characters>
  <CharactersWithSpaces>4207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2020-01-23T08:51:00Z</dcterms:created>
  <dc:creator>hotof</dc:creator>
  <dc:description/>
  <dc:language>uk-UA</dc:language>
  <cp:lastModifiedBy/>
  <cp:lastPrinted>2020-02-12T12:18:09Z</cp:lastPrinted>
  <dcterms:modified xsi:type="dcterms:W3CDTF">2021-02-02T16:53:14Z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